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F4" w:rsidRPr="00740E59" w:rsidRDefault="00F73E9C" w:rsidP="00C459FD">
      <w:pPr>
        <w:pStyle w:val="Default"/>
        <w:jc w:val="center"/>
        <w:rPr>
          <w:color w:val="auto"/>
          <w:sz w:val="32"/>
          <w:szCs w:val="32"/>
        </w:rPr>
      </w:pPr>
      <w:r w:rsidRPr="00740E59">
        <w:rPr>
          <w:b/>
          <w:bCs/>
          <w:color w:val="auto"/>
          <w:sz w:val="32"/>
          <w:szCs w:val="32"/>
        </w:rPr>
        <w:t>OPPORTUNITA’ LAVORATIVA PER GLI STUDENTI</w:t>
      </w:r>
    </w:p>
    <w:p w:rsidR="00C038F4" w:rsidRDefault="00C038F4" w:rsidP="00C459FD">
      <w:pPr>
        <w:pStyle w:val="Default"/>
        <w:jc w:val="center"/>
        <w:rPr>
          <w:sz w:val="22"/>
          <w:szCs w:val="22"/>
        </w:rPr>
      </w:pPr>
    </w:p>
    <w:p w:rsidR="0012246B" w:rsidRPr="00740E59" w:rsidRDefault="00F73E9C" w:rsidP="00C459FD">
      <w:pPr>
        <w:pStyle w:val="Default"/>
        <w:jc w:val="center"/>
        <w:rPr>
          <w:b/>
          <w:bCs/>
          <w:color w:val="FF0000"/>
        </w:rPr>
      </w:pPr>
      <w:r w:rsidRPr="00740E59">
        <w:rPr>
          <w:b/>
          <w:bCs/>
          <w:color w:val="FF0000"/>
        </w:rPr>
        <w:t>PRATICA PROFESSIONALE PER L’ISCRIZIONE ALL’ORDINE DEI CONSULENTI DEL LAVORO,</w:t>
      </w:r>
    </w:p>
    <w:p w:rsidR="00C038F4" w:rsidRPr="00740E59" w:rsidRDefault="00F73E9C" w:rsidP="00C459FD">
      <w:pPr>
        <w:pStyle w:val="Default"/>
        <w:jc w:val="center"/>
        <w:rPr>
          <w:color w:val="FF0000"/>
          <w:sz w:val="22"/>
          <w:szCs w:val="22"/>
        </w:rPr>
      </w:pPr>
      <w:r w:rsidRPr="00740E59">
        <w:rPr>
          <w:b/>
          <w:bCs/>
          <w:color w:val="FF0000"/>
        </w:rPr>
        <w:t>PRIMA DEL CONSEGUIMENTO DELLA LAUREA</w:t>
      </w:r>
      <w:r w:rsidRPr="00740E59">
        <w:rPr>
          <w:b/>
          <w:bCs/>
          <w:color w:val="FF0000"/>
          <w:sz w:val="22"/>
          <w:szCs w:val="22"/>
        </w:rPr>
        <w:t>.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038F4" w:rsidRDefault="00FF44AF" w:rsidP="00C459FD">
      <w:pPr>
        <w:pStyle w:val="Default"/>
        <w:jc w:val="both"/>
        <w:rPr>
          <w:sz w:val="22"/>
          <w:szCs w:val="22"/>
        </w:rPr>
      </w:pPr>
      <w:r w:rsidRPr="00FF44AF">
        <w:rPr>
          <w:sz w:val="22"/>
          <w:szCs w:val="22"/>
        </w:rPr>
        <w:t>Come consentito</w:t>
      </w:r>
      <w:r w:rsidR="00F73E9C" w:rsidRPr="00FF44AF">
        <w:rPr>
          <w:sz w:val="22"/>
          <w:szCs w:val="22"/>
        </w:rPr>
        <w:t xml:space="preserve"> dall’art</w:t>
      </w:r>
      <w:r w:rsidR="00F73E9C">
        <w:rPr>
          <w:sz w:val="22"/>
          <w:szCs w:val="22"/>
        </w:rPr>
        <w:t xml:space="preserve">. 9, comma 6, d.l. n. 1 del 2012, l’Università di Macerata ha stipulato una convenzione con gli ordini dei Consulenti del lavoro di Macerata, Ancona, Fermo e Ascoli Piceno, al fine di </w:t>
      </w:r>
      <w:r w:rsidR="00647A36">
        <w:rPr>
          <w:sz w:val="22"/>
          <w:szCs w:val="22"/>
        </w:rPr>
        <w:t xml:space="preserve">favorire per </w:t>
      </w:r>
      <w:r w:rsidR="00F73E9C">
        <w:rPr>
          <w:sz w:val="22"/>
          <w:szCs w:val="22"/>
        </w:rPr>
        <w:t xml:space="preserve">i propri studenti </w:t>
      </w:r>
      <w:r w:rsidR="00647A36">
        <w:rPr>
          <w:sz w:val="22"/>
          <w:szCs w:val="22"/>
        </w:rPr>
        <w:t xml:space="preserve">lo </w:t>
      </w:r>
      <w:r w:rsidR="00F73E9C">
        <w:rPr>
          <w:sz w:val="22"/>
          <w:szCs w:val="22"/>
        </w:rPr>
        <w:t>svolg</w:t>
      </w:r>
      <w:r w:rsidR="00647A36">
        <w:rPr>
          <w:sz w:val="22"/>
          <w:szCs w:val="22"/>
        </w:rPr>
        <w:t>imento</w:t>
      </w:r>
      <w:r w:rsidR="00F73E9C">
        <w:rPr>
          <w:sz w:val="22"/>
          <w:szCs w:val="22"/>
        </w:rPr>
        <w:t xml:space="preserve"> </w:t>
      </w:r>
      <w:r w:rsidR="00647A36">
        <w:rPr>
          <w:sz w:val="22"/>
          <w:szCs w:val="22"/>
        </w:rPr>
        <w:t xml:space="preserve">di </w:t>
      </w:r>
      <w:r w:rsidR="00F73E9C">
        <w:rPr>
          <w:sz w:val="22"/>
          <w:szCs w:val="22"/>
        </w:rPr>
        <w:t xml:space="preserve">un periodo di pratica professionale utile ai fini dell’iscrizione all’Ordine dei Consulenti del lavoro, contestualmente alla frequenza dell’ultimo anno del corso di studio. </w:t>
      </w:r>
    </w:p>
    <w:p w:rsidR="00E530FA" w:rsidRDefault="00E530FA" w:rsidP="00C459FD">
      <w:pPr>
        <w:pStyle w:val="Default"/>
        <w:jc w:val="both"/>
        <w:rPr>
          <w:sz w:val="22"/>
          <w:szCs w:val="22"/>
        </w:rPr>
      </w:pP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Il periodo di praticantato dovrà svolgersi necessariamente nell’anno accademico in cui lo studente si laurea, anche se fuori corso</w:t>
      </w:r>
      <w:r>
        <w:rPr>
          <w:sz w:val="22"/>
          <w:szCs w:val="22"/>
        </w:rPr>
        <w:t xml:space="preserve">. 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periodo di pratica professionale avrà la </w:t>
      </w:r>
      <w:r>
        <w:rPr>
          <w:b/>
          <w:bCs/>
          <w:sz w:val="22"/>
          <w:szCs w:val="22"/>
        </w:rPr>
        <w:t>durata massima di sei mesi</w:t>
      </w:r>
      <w:r>
        <w:rPr>
          <w:sz w:val="22"/>
          <w:szCs w:val="22"/>
        </w:rPr>
        <w:t xml:space="preserve">. </w:t>
      </w:r>
    </w:p>
    <w:p w:rsidR="00C038F4" w:rsidRDefault="00C038F4" w:rsidP="00C459FD">
      <w:pPr>
        <w:pStyle w:val="Default"/>
        <w:jc w:val="both"/>
        <w:rPr>
          <w:sz w:val="22"/>
          <w:szCs w:val="22"/>
        </w:rPr>
      </w:pP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 w:rsidR="00E530FA">
        <w:rPr>
          <w:sz w:val="22"/>
          <w:szCs w:val="22"/>
        </w:rPr>
        <w:t xml:space="preserve">istanza di </w:t>
      </w:r>
      <w:r>
        <w:rPr>
          <w:sz w:val="22"/>
          <w:szCs w:val="22"/>
        </w:rPr>
        <w:t xml:space="preserve">accesso alla pratica professionale </w:t>
      </w:r>
      <w:r w:rsidR="00E530FA">
        <w:rPr>
          <w:sz w:val="22"/>
          <w:szCs w:val="22"/>
        </w:rPr>
        <w:t>può essere presentata d</w:t>
      </w:r>
      <w:r>
        <w:rPr>
          <w:sz w:val="22"/>
          <w:szCs w:val="22"/>
        </w:rPr>
        <w:t xml:space="preserve">agli studenti dei seguenti </w:t>
      </w:r>
      <w:r w:rsidRPr="00EB6D19">
        <w:rPr>
          <w:b/>
          <w:sz w:val="22"/>
          <w:szCs w:val="22"/>
        </w:rPr>
        <w:t>corsi di studio</w:t>
      </w:r>
      <w:r w:rsidR="0096180B" w:rsidRPr="00EB6D19">
        <w:rPr>
          <w:b/>
          <w:sz w:val="22"/>
          <w:szCs w:val="22"/>
        </w:rPr>
        <w:t xml:space="preserve"> attivi</w:t>
      </w:r>
      <w:r>
        <w:rPr>
          <w:sz w:val="22"/>
          <w:szCs w:val="22"/>
        </w:rPr>
        <w:t xml:space="preserve">: </w:t>
      </w:r>
    </w:p>
    <w:p w:rsidR="00C038F4" w:rsidRDefault="00F73E9C" w:rsidP="00C459FD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Corso di studio della Classe LMG/01, Laurea magistrale </w:t>
      </w:r>
      <w:r>
        <w:rPr>
          <w:i/>
          <w:iCs/>
          <w:sz w:val="22"/>
          <w:szCs w:val="22"/>
        </w:rPr>
        <w:t>a ciclo unico</w:t>
      </w:r>
      <w:r>
        <w:rPr>
          <w:sz w:val="22"/>
          <w:szCs w:val="22"/>
        </w:rPr>
        <w:t xml:space="preserve"> in </w:t>
      </w:r>
      <w:r>
        <w:rPr>
          <w:b/>
          <w:bCs/>
          <w:i/>
          <w:iCs/>
          <w:sz w:val="22"/>
          <w:szCs w:val="22"/>
        </w:rPr>
        <w:t>Giurisprudenza</w:t>
      </w:r>
      <w:r>
        <w:rPr>
          <w:b/>
          <w:bCs/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C038F4" w:rsidRDefault="00F73E9C" w:rsidP="00C459FD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Corso di studio della Classe L-14, Laurea triennale in </w:t>
      </w:r>
      <w:r>
        <w:rPr>
          <w:b/>
          <w:bCs/>
          <w:i/>
          <w:iCs/>
          <w:sz w:val="22"/>
          <w:szCs w:val="22"/>
        </w:rPr>
        <w:t>Scienze Giuridiche Applicate</w:t>
      </w:r>
      <w:r>
        <w:rPr>
          <w:sz w:val="22"/>
          <w:szCs w:val="22"/>
        </w:rPr>
        <w:t xml:space="preserve">; </w:t>
      </w:r>
    </w:p>
    <w:p w:rsidR="00C038F4" w:rsidRDefault="00F73E9C" w:rsidP="00C459FD">
      <w:pPr>
        <w:pStyle w:val="Default"/>
        <w:spacing w:after="1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Corso di studio della Classe LM-63, Laurea magistrale in </w:t>
      </w:r>
      <w:r>
        <w:rPr>
          <w:b/>
          <w:bCs/>
          <w:i/>
          <w:iCs/>
          <w:sz w:val="22"/>
          <w:szCs w:val="22"/>
        </w:rPr>
        <w:t>Scienze dell'amministrazione pubblica e privata</w:t>
      </w:r>
      <w:r w:rsidR="0096180B">
        <w:rPr>
          <w:b/>
          <w:bCs/>
          <w:sz w:val="22"/>
          <w:szCs w:val="22"/>
        </w:rPr>
        <w:t>.</w:t>
      </w:r>
    </w:p>
    <w:p w:rsidR="0096180B" w:rsidRDefault="0096180B" w:rsidP="00C459FD">
      <w:pPr>
        <w:pStyle w:val="Default"/>
        <w:spacing w:after="18"/>
        <w:jc w:val="both"/>
        <w:rPr>
          <w:b/>
          <w:bCs/>
          <w:sz w:val="22"/>
          <w:szCs w:val="22"/>
        </w:rPr>
      </w:pPr>
    </w:p>
    <w:p w:rsidR="0096180B" w:rsidRDefault="0096180B" w:rsidP="00C459FD">
      <w:pPr>
        <w:pStyle w:val="Default"/>
        <w:spacing w:after="18"/>
        <w:jc w:val="both"/>
        <w:rPr>
          <w:iCs/>
          <w:sz w:val="22"/>
          <w:szCs w:val="22"/>
        </w:rPr>
      </w:pPr>
      <w:r>
        <w:rPr>
          <w:sz w:val="22"/>
          <w:szCs w:val="22"/>
        </w:rPr>
        <w:t>L’</w:t>
      </w:r>
      <w:r w:rsidR="00E530FA">
        <w:rPr>
          <w:sz w:val="22"/>
          <w:szCs w:val="22"/>
        </w:rPr>
        <w:t xml:space="preserve">istanza di accesso </w:t>
      </w:r>
      <w:r>
        <w:rPr>
          <w:sz w:val="22"/>
          <w:szCs w:val="22"/>
        </w:rPr>
        <w:t>alla pratica professionale è inoltre consentit</w:t>
      </w:r>
      <w:r w:rsidR="00E530FA">
        <w:rPr>
          <w:sz w:val="22"/>
          <w:szCs w:val="22"/>
        </w:rPr>
        <w:t>a</w:t>
      </w:r>
      <w:r>
        <w:rPr>
          <w:sz w:val="22"/>
          <w:szCs w:val="22"/>
        </w:rPr>
        <w:t xml:space="preserve"> agli studenti dei </w:t>
      </w:r>
      <w:r w:rsidRPr="00EB6D19">
        <w:rPr>
          <w:b/>
          <w:sz w:val="22"/>
          <w:szCs w:val="22"/>
        </w:rPr>
        <w:t>corsi di studio</w:t>
      </w:r>
      <w:r w:rsidRPr="00EB6D19">
        <w:rPr>
          <w:b/>
          <w:iCs/>
          <w:sz w:val="22"/>
          <w:szCs w:val="22"/>
        </w:rPr>
        <w:t xml:space="preserve"> ad esaurimento</w:t>
      </w:r>
      <w:r>
        <w:rPr>
          <w:iCs/>
          <w:sz w:val="22"/>
          <w:szCs w:val="22"/>
        </w:rPr>
        <w:t xml:space="preserve">: </w:t>
      </w:r>
    </w:p>
    <w:p w:rsidR="00C038F4" w:rsidRDefault="00F73E9C" w:rsidP="00C459FD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Corsi di studio delle Classi L-16, </w:t>
      </w:r>
      <w:r>
        <w:rPr>
          <w:b/>
          <w:bCs/>
          <w:i/>
          <w:iCs/>
          <w:sz w:val="22"/>
          <w:szCs w:val="22"/>
        </w:rPr>
        <w:t>Laurea triennale in Scienze dell’amministrazione</w:t>
      </w:r>
      <w:r>
        <w:rPr>
          <w:sz w:val="22"/>
          <w:szCs w:val="22"/>
        </w:rPr>
        <w:t xml:space="preserve">; </w:t>
      </w:r>
    </w:p>
    <w:p w:rsidR="0096180B" w:rsidRDefault="00F73E9C" w:rsidP="00C459FD">
      <w:pPr>
        <w:pStyle w:val="Default"/>
        <w:jc w:val="both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Corsi di studio delle Classi LM-63, </w:t>
      </w:r>
      <w:r>
        <w:rPr>
          <w:b/>
          <w:bCs/>
          <w:i/>
          <w:iCs/>
          <w:sz w:val="22"/>
          <w:szCs w:val="22"/>
        </w:rPr>
        <w:t>Laurea magistrale in Scienze delle Pubbliche Amministrazioni e delle organizzazioni complesse</w:t>
      </w:r>
      <w:r w:rsidR="0096180B">
        <w:rPr>
          <w:b/>
          <w:bCs/>
          <w:iCs/>
          <w:sz w:val="22"/>
          <w:szCs w:val="22"/>
        </w:rPr>
        <w:t>;</w:t>
      </w:r>
    </w:p>
    <w:p w:rsidR="00E530FA" w:rsidRDefault="0096180B" w:rsidP="00C459FD">
      <w:pPr>
        <w:pStyle w:val="Default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- </w:t>
      </w:r>
      <w:r>
        <w:rPr>
          <w:bCs/>
          <w:iCs/>
          <w:sz w:val="22"/>
          <w:szCs w:val="22"/>
        </w:rPr>
        <w:t xml:space="preserve">Corsi di studio triennale e biennale di </w:t>
      </w:r>
      <w:r w:rsidRPr="0096180B">
        <w:rPr>
          <w:b/>
          <w:bCs/>
          <w:i/>
          <w:iCs/>
          <w:sz w:val="22"/>
          <w:szCs w:val="22"/>
        </w:rPr>
        <w:t>Scienze Giuridiche</w:t>
      </w:r>
      <w:r w:rsidR="00F73E9C">
        <w:rPr>
          <w:sz w:val="22"/>
          <w:szCs w:val="22"/>
        </w:rPr>
        <w:t xml:space="preserve"> </w:t>
      </w:r>
      <w:r w:rsidR="00EB6D19" w:rsidRPr="00FF44AF">
        <w:rPr>
          <w:sz w:val="22"/>
          <w:szCs w:val="22"/>
        </w:rPr>
        <w:t>(vecchi ordinamenti).</w:t>
      </w:r>
    </w:p>
    <w:p w:rsidR="00EB6D19" w:rsidRDefault="00EB6D19" w:rsidP="00C459FD">
      <w:pPr>
        <w:pStyle w:val="Default"/>
        <w:jc w:val="both"/>
        <w:rPr>
          <w:color w:val="FF0000"/>
          <w:sz w:val="22"/>
          <w:szCs w:val="22"/>
        </w:rPr>
      </w:pPr>
    </w:p>
    <w:p w:rsidR="00FB5841" w:rsidRPr="00EB6D19" w:rsidRDefault="00647A36" w:rsidP="00EB6D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auto"/>
          <w:sz w:val="22"/>
          <w:szCs w:val="22"/>
        </w:rPr>
      </w:pPr>
      <w:r w:rsidRPr="00EB6D19">
        <w:rPr>
          <w:b/>
          <w:color w:val="auto"/>
          <w:sz w:val="22"/>
          <w:szCs w:val="22"/>
        </w:rPr>
        <w:t>In presenza dei requisiti richiesti, la presentazione dell</w:t>
      </w:r>
      <w:r w:rsidR="00E530FA" w:rsidRPr="00EB6D19">
        <w:rPr>
          <w:b/>
          <w:color w:val="auto"/>
          <w:sz w:val="22"/>
          <w:szCs w:val="22"/>
        </w:rPr>
        <w:t xml:space="preserve">’istanza secondo </w:t>
      </w:r>
      <w:r w:rsidRPr="00EB6D19">
        <w:rPr>
          <w:b/>
          <w:color w:val="auto"/>
          <w:sz w:val="22"/>
          <w:szCs w:val="22"/>
        </w:rPr>
        <w:t xml:space="preserve">le modalità sotto </w:t>
      </w:r>
      <w:r w:rsidR="00E530FA" w:rsidRPr="00EB6D19">
        <w:rPr>
          <w:b/>
          <w:color w:val="auto"/>
          <w:sz w:val="22"/>
          <w:szCs w:val="22"/>
        </w:rPr>
        <w:t>indicat</w:t>
      </w:r>
      <w:r w:rsidRPr="00EB6D19">
        <w:rPr>
          <w:b/>
          <w:color w:val="auto"/>
          <w:sz w:val="22"/>
          <w:szCs w:val="22"/>
        </w:rPr>
        <w:t xml:space="preserve">e </w:t>
      </w:r>
      <w:r w:rsidR="00361E9B" w:rsidRPr="00EB6D19">
        <w:rPr>
          <w:b/>
          <w:color w:val="auto"/>
          <w:sz w:val="22"/>
          <w:szCs w:val="22"/>
        </w:rPr>
        <w:t>costituisce un canale privilegiato di contatto con gli studi professionali, ma</w:t>
      </w:r>
      <w:r w:rsidRPr="00EB6D19">
        <w:rPr>
          <w:b/>
          <w:color w:val="auto"/>
          <w:sz w:val="22"/>
          <w:szCs w:val="22"/>
        </w:rPr>
        <w:t xml:space="preserve"> </w:t>
      </w:r>
      <w:r w:rsidR="00E530FA" w:rsidRPr="00EB6D19">
        <w:rPr>
          <w:b/>
          <w:color w:val="auto"/>
          <w:sz w:val="22"/>
          <w:szCs w:val="22"/>
        </w:rPr>
        <w:t>non d</w:t>
      </w:r>
      <w:r w:rsidRPr="00EB6D19">
        <w:rPr>
          <w:b/>
          <w:color w:val="auto"/>
          <w:sz w:val="22"/>
          <w:szCs w:val="22"/>
        </w:rPr>
        <w:t xml:space="preserve">etermina in capo allo studente richiedente </w:t>
      </w:r>
      <w:r w:rsidR="00361E9B" w:rsidRPr="00EB6D19">
        <w:rPr>
          <w:b/>
          <w:color w:val="auto"/>
          <w:sz w:val="22"/>
          <w:szCs w:val="22"/>
        </w:rPr>
        <w:t>alcun</w:t>
      </w:r>
      <w:r w:rsidRPr="00EB6D19">
        <w:rPr>
          <w:b/>
          <w:color w:val="auto"/>
          <w:sz w:val="22"/>
          <w:szCs w:val="22"/>
        </w:rPr>
        <w:t xml:space="preserve"> diritto</w:t>
      </w:r>
      <w:r w:rsidR="00361E9B" w:rsidRPr="00EB6D19">
        <w:rPr>
          <w:b/>
          <w:color w:val="auto"/>
          <w:sz w:val="22"/>
          <w:szCs w:val="22"/>
        </w:rPr>
        <w:t xml:space="preserve"> all</w:t>
      </w:r>
      <w:r w:rsidRPr="00EB6D19">
        <w:rPr>
          <w:b/>
          <w:color w:val="auto"/>
          <w:sz w:val="22"/>
          <w:szCs w:val="22"/>
        </w:rPr>
        <w:t>’esercizio della</w:t>
      </w:r>
      <w:r w:rsidR="00E530FA" w:rsidRPr="00EB6D19">
        <w:rPr>
          <w:b/>
          <w:color w:val="auto"/>
          <w:sz w:val="22"/>
          <w:szCs w:val="22"/>
        </w:rPr>
        <w:t xml:space="preserve"> pratica professionale</w:t>
      </w:r>
      <w:r w:rsidR="00361E9B" w:rsidRPr="00EB6D19">
        <w:rPr>
          <w:b/>
          <w:color w:val="auto"/>
          <w:sz w:val="22"/>
          <w:szCs w:val="22"/>
        </w:rPr>
        <w:t>, l’attivazione del praticantato restando subordinata alla positiva valutazione del consulente del lavoro</w:t>
      </w:r>
      <w:r w:rsidR="00EB6D19" w:rsidRPr="00EB6D19">
        <w:rPr>
          <w:b/>
          <w:color w:val="auto"/>
          <w:sz w:val="22"/>
          <w:szCs w:val="22"/>
        </w:rPr>
        <w:t>.</w:t>
      </w:r>
      <w:r w:rsidRPr="00EB6D19">
        <w:rPr>
          <w:b/>
          <w:color w:val="auto"/>
          <w:sz w:val="22"/>
          <w:szCs w:val="22"/>
        </w:rPr>
        <w:t xml:space="preserve"> </w:t>
      </w:r>
    </w:p>
    <w:p w:rsidR="00647A36" w:rsidRDefault="00647A36" w:rsidP="00C459FD">
      <w:pPr>
        <w:pStyle w:val="Default"/>
        <w:jc w:val="both"/>
        <w:rPr>
          <w:color w:val="FF0000"/>
          <w:sz w:val="22"/>
          <w:szCs w:val="22"/>
        </w:rPr>
      </w:pPr>
    </w:p>
    <w:p w:rsidR="00C038F4" w:rsidRPr="00EB6D19" w:rsidRDefault="00F73E9C" w:rsidP="00C459FD">
      <w:pPr>
        <w:pStyle w:val="Default"/>
        <w:jc w:val="both"/>
        <w:rPr>
          <w:sz w:val="22"/>
          <w:szCs w:val="22"/>
          <w:u w:val="single"/>
        </w:rPr>
      </w:pPr>
      <w:r w:rsidRPr="00EB6D19">
        <w:rPr>
          <w:b/>
          <w:bCs/>
          <w:sz w:val="22"/>
          <w:szCs w:val="22"/>
          <w:u w:val="single"/>
        </w:rPr>
        <w:t>Per accedere alla pratica professionale gli studenti dovranno possedere i seguenti requisiti</w:t>
      </w:r>
      <w:r w:rsidRPr="00EB6D19">
        <w:rPr>
          <w:sz w:val="22"/>
          <w:szCs w:val="22"/>
          <w:u w:val="single"/>
        </w:rPr>
        <w:t>:</w:t>
      </w:r>
      <w:r w:rsidRPr="00EB6D19">
        <w:rPr>
          <w:sz w:val="22"/>
          <w:szCs w:val="22"/>
        </w:rPr>
        <w:t xml:space="preserve"> </w:t>
      </w:r>
    </w:p>
    <w:p w:rsidR="00C038F4" w:rsidRDefault="00F73E9C" w:rsidP="00C459FD">
      <w:pPr>
        <w:pStyle w:val="Default"/>
        <w:spacing w:after="1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Superamento degli esami del 1° e 2° anno di corso (o possesso di un numero di crediti per esami sostenuti di pari entità) per i corsi di studio triennali; 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Superamento degli esami del 1°, 2°, 3° e 4° anno di corso (o possesso di un numero di crediti per esami sostenuti di pari entità) per le lauree magistrali</w:t>
      </w:r>
      <w:r w:rsidR="00772A61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C038F4" w:rsidRDefault="00C459FD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Superamento degli esami del 1°, 2°, 3° anno di un Corso di studi triennale e del 1° anno di un Corso di studi biennali (o possesso di un numero di crediti per esami sostenuti di pari entità), per gli studenti iscritti ai bienni specialistici ad esaurimento. 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Inoltre, nell’ambito degli esami sostenuti, sono richiesti almeno 12 crediti nelle seguenti materie: Economia politica</w:t>
      </w:r>
      <w:r w:rsidR="00C459FD">
        <w:rPr>
          <w:sz w:val="22"/>
          <w:szCs w:val="22"/>
        </w:rPr>
        <w:t xml:space="preserve"> (SECS-P/01)</w:t>
      </w:r>
      <w:r>
        <w:rPr>
          <w:sz w:val="22"/>
          <w:szCs w:val="22"/>
        </w:rPr>
        <w:t>, Economia aziendale</w:t>
      </w:r>
      <w:r w:rsidR="00C459FD">
        <w:rPr>
          <w:sz w:val="22"/>
          <w:szCs w:val="22"/>
        </w:rPr>
        <w:t xml:space="preserve"> (SECS-P/07)</w:t>
      </w:r>
      <w:r>
        <w:rPr>
          <w:sz w:val="22"/>
          <w:szCs w:val="22"/>
        </w:rPr>
        <w:t>, Economia e Gestione delle Imprese</w:t>
      </w:r>
      <w:r w:rsidR="00C459FD">
        <w:rPr>
          <w:sz w:val="22"/>
          <w:szCs w:val="22"/>
        </w:rPr>
        <w:t xml:space="preserve"> (SECS-P/08)</w:t>
      </w:r>
      <w:r>
        <w:rPr>
          <w:sz w:val="22"/>
          <w:szCs w:val="22"/>
        </w:rPr>
        <w:t>, Organizzazione Aziendale</w:t>
      </w:r>
      <w:r w:rsidR="00C459FD">
        <w:rPr>
          <w:sz w:val="22"/>
          <w:szCs w:val="22"/>
        </w:rPr>
        <w:t xml:space="preserve"> (SECS-P/10)</w:t>
      </w:r>
      <w:r>
        <w:rPr>
          <w:sz w:val="22"/>
          <w:szCs w:val="22"/>
        </w:rPr>
        <w:t xml:space="preserve">. </w:t>
      </w:r>
    </w:p>
    <w:p w:rsidR="00EB6D19" w:rsidRDefault="00EB6D19" w:rsidP="00C459FD">
      <w:pPr>
        <w:pStyle w:val="Default"/>
        <w:jc w:val="both"/>
        <w:rPr>
          <w:sz w:val="22"/>
          <w:szCs w:val="22"/>
        </w:rPr>
      </w:pPr>
    </w:p>
    <w:p w:rsidR="00361E9B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Per gli studenti della Class</w:t>
      </w:r>
      <w:r w:rsidR="00FB5841">
        <w:rPr>
          <w:sz w:val="22"/>
          <w:szCs w:val="22"/>
        </w:rPr>
        <w:t>i</w:t>
      </w:r>
      <w:r w:rsidR="00361E9B">
        <w:rPr>
          <w:sz w:val="22"/>
          <w:szCs w:val="22"/>
        </w:rPr>
        <w:t>:</w:t>
      </w:r>
    </w:p>
    <w:p w:rsidR="007456D8" w:rsidRDefault="00F73E9C" w:rsidP="00361E9B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LMG/01, </w:t>
      </w:r>
      <w:r>
        <w:rPr>
          <w:b/>
          <w:bCs/>
          <w:i/>
          <w:iCs/>
          <w:sz w:val="22"/>
          <w:szCs w:val="22"/>
        </w:rPr>
        <w:t>Laurea magistrale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 ciclo unico in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Giurisprudenza</w:t>
      </w:r>
      <w:r w:rsidR="00FB5841">
        <w:rPr>
          <w:b/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>ove tali materie sono insegnate per 9 crediti</w:t>
      </w:r>
      <w:r w:rsidR="00361E9B">
        <w:rPr>
          <w:sz w:val="22"/>
          <w:szCs w:val="22"/>
        </w:rPr>
        <w:t>;</w:t>
      </w:r>
    </w:p>
    <w:p w:rsidR="008633CC" w:rsidRDefault="00361E9B" w:rsidP="00361E9B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361E9B">
        <w:rPr>
          <w:bCs/>
          <w:iCs/>
          <w:sz w:val="22"/>
          <w:szCs w:val="22"/>
        </w:rPr>
        <w:t xml:space="preserve">L-14 </w:t>
      </w:r>
      <w:r w:rsidRPr="00361E9B">
        <w:rPr>
          <w:bCs/>
          <w:i/>
          <w:iCs/>
          <w:sz w:val="22"/>
          <w:szCs w:val="22"/>
        </w:rPr>
        <w:t>Laurea triennale in Scienze giuridiche applicate</w:t>
      </w:r>
      <w:r w:rsidR="008633CC">
        <w:rPr>
          <w:bCs/>
          <w:iCs/>
          <w:sz w:val="22"/>
          <w:szCs w:val="22"/>
        </w:rPr>
        <w:t>,</w:t>
      </w:r>
      <w:r w:rsidR="008633CC" w:rsidRPr="00F44961">
        <w:rPr>
          <w:bCs/>
          <w:iCs/>
          <w:sz w:val="22"/>
          <w:szCs w:val="22"/>
        </w:rPr>
        <w:t xml:space="preserve"> </w:t>
      </w:r>
      <w:r w:rsidR="008633CC">
        <w:rPr>
          <w:sz w:val="22"/>
          <w:szCs w:val="22"/>
        </w:rPr>
        <w:t>ove tali materie sono insegnate per 9 crediti:</w:t>
      </w:r>
    </w:p>
    <w:p w:rsidR="00361E9B" w:rsidRPr="008633CC" w:rsidRDefault="008633CC" w:rsidP="008633CC">
      <w:pPr>
        <w:pStyle w:val="Default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r w:rsidR="00F44961">
        <w:rPr>
          <w:i/>
          <w:sz w:val="22"/>
          <w:szCs w:val="22"/>
        </w:rPr>
        <w:t>Consulente per il lavoro</w:t>
      </w:r>
      <w:r w:rsidR="00F44961">
        <w:rPr>
          <w:sz w:val="22"/>
          <w:szCs w:val="22"/>
        </w:rPr>
        <w:t xml:space="preserve">, limitatamente agli anni accademici in cui era insegnata </w:t>
      </w:r>
      <w:r w:rsidR="00F44961">
        <w:rPr>
          <w:i/>
          <w:sz w:val="22"/>
          <w:szCs w:val="22"/>
        </w:rPr>
        <w:t>E</w:t>
      </w:r>
      <w:r w:rsidR="00F44961" w:rsidRPr="00F44961">
        <w:rPr>
          <w:i/>
          <w:sz w:val="22"/>
          <w:szCs w:val="22"/>
        </w:rPr>
        <w:t>conomia app</w:t>
      </w:r>
      <w:r w:rsidR="00F44961">
        <w:rPr>
          <w:i/>
          <w:sz w:val="22"/>
          <w:szCs w:val="22"/>
        </w:rPr>
        <w:t>licata alle piccole e medie imprese</w:t>
      </w:r>
      <w:r w:rsidR="00F44961">
        <w:rPr>
          <w:sz w:val="22"/>
          <w:szCs w:val="22"/>
        </w:rPr>
        <w:t>, non utile per il conseguimento dei crediti;</w:t>
      </w:r>
      <w:r w:rsidR="00361E9B">
        <w:rPr>
          <w:b/>
          <w:bCs/>
          <w:iCs/>
          <w:sz w:val="22"/>
          <w:szCs w:val="22"/>
        </w:rPr>
        <w:t xml:space="preserve"> </w:t>
      </w:r>
    </w:p>
    <w:p w:rsidR="008633CC" w:rsidRPr="00FF44AF" w:rsidRDefault="008633CC" w:rsidP="008633CC">
      <w:pPr>
        <w:pStyle w:val="Default"/>
        <w:numPr>
          <w:ilvl w:val="1"/>
          <w:numId w:val="5"/>
        </w:numPr>
        <w:jc w:val="both"/>
        <w:rPr>
          <w:sz w:val="22"/>
          <w:szCs w:val="22"/>
        </w:rPr>
      </w:pPr>
      <w:r w:rsidRPr="00832F23">
        <w:rPr>
          <w:sz w:val="22"/>
          <w:szCs w:val="22"/>
        </w:rPr>
        <w:lastRenderedPageBreak/>
        <w:t xml:space="preserve">indirizzo </w:t>
      </w:r>
      <w:r w:rsidRPr="00832F23">
        <w:rPr>
          <w:i/>
          <w:sz w:val="22"/>
          <w:szCs w:val="22"/>
        </w:rPr>
        <w:t>Operatore giudiziario e criminologico</w:t>
      </w:r>
      <w:r w:rsidRPr="00832F23">
        <w:rPr>
          <w:sz w:val="22"/>
          <w:szCs w:val="22"/>
        </w:rPr>
        <w:t xml:space="preserve">, nel caso </w:t>
      </w:r>
      <w:r w:rsidR="00FF44AF">
        <w:rPr>
          <w:sz w:val="22"/>
          <w:szCs w:val="22"/>
        </w:rPr>
        <w:t xml:space="preserve">in cui non sia stato sostenuto l’esame di </w:t>
      </w:r>
      <w:r w:rsidR="00832F23" w:rsidRPr="00FF44AF">
        <w:rPr>
          <w:i/>
          <w:sz w:val="22"/>
          <w:szCs w:val="22"/>
        </w:rPr>
        <w:t>Analisi economica dei comportamenti criminali</w:t>
      </w:r>
      <w:r w:rsidR="00832F23" w:rsidRPr="00FF44AF">
        <w:rPr>
          <w:sz w:val="22"/>
          <w:szCs w:val="22"/>
        </w:rPr>
        <w:t>.</w:t>
      </w:r>
    </w:p>
    <w:p w:rsidR="009C79A8" w:rsidRDefault="009C79A8" w:rsidP="00C459FD">
      <w:pPr>
        <w:pStyle w:val="Default"/>
        <w:jc w:val="both"/>
        <w:rPr>
          <w:b/>
          <w:sz w:val="22"/>
          <w:szCs w:val="22"/>
          <w:u w:val="single"/>
        </w:rPr>
      </w:pPr>
    </w:p>
    <w:p w:rsidR="001D1139" w:rsidRDefault="00F73E9C" w:rsidP="00C459FD">
      <w:pPr>
        <w:pStyle w:val="Default"/>
        <w:jc w:val="both"/>
        <w:rPr>
          <w:sz w:val="22"/>
          <w:szCs w:val="22"/>
        </w:rPr>
      </w:pPr>
      <w:r w:rsidRPr="00FF44AF">
        <w:rPr>
          <w:b/>
          <w:sz w:val="22"/>
          <w:szCs w:val="22"/>
          <w:u w:val="single"/>
        </w:rPr>
        <w:t xml:space="preserve">i 3 crediti mancanti </w:t>
      </w:r>
      <w:r w:rsidR="00A52245" w:rsidRPr="00FF44AF">
        <w:rPr>
          <w:b/>
          <w:sz w:val="22"/>
          <w:szCs w:val="22"/>
          <w:u w:val="single"/>
        </w:rPr>
        <w:t>potranno essere acquisiti</w:t>
      </w:r>
      <w:r w:rsidR="00A52245">
        <w:rPr>
          <w:sz w:val="22"/>
          <w:szCs w:val="22"/>
        </w:rPr>
        <w:t xml:space="preserve"> dagli studenti interessati attraverso la partecipazione a seminari o corsi che saranno annualmente indicati in questo sito. Gli studenti possono acquisire i crediti mancanti anche autonomamente, presentando idonea documentazione </w:t>
      </w:r>
      <w:r w:rsidR="001D1139">
        <w:rPr>
          <w:sz w:val="22"/>
          <w:szCs w:val="22"/>
        </w:rPr>
        <w:t>sulla partecipazione a seminari o corsi nelle materie sopra indiciate, che sarà valutata dal Dipartimento.</w:t>
      </w:r>
      <w:r w:rsidR="00A52245">
        <w:rPr>
          <w:sz w:val="22"/>
          <w:szCs w:val="22"/>
        </w:rPr>
        <w:t xml:space="preserve">  </w:t>
      </w:r>
    </w:p>
    <w:p w:rsidR="008633CC" w:rsidRDefault="008633CC" w:rsidP="00C459FD">
      <w:pPr>
        <w:pStyle w:val="Default"/>
        <w:jc w:val="both"/>
        <w:rPr>
          <w:sz w:val="22"/>
          <w:szCs w:val="22"/>
        </w:rPr>
      </w:pPr>
    </w:p>
    <w:p w:rsidR="001D1139" w:rsidRDefault="00911613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PER TUTTI GLI STUDENTI DEI CORSI DI JESI E DI MACERATA</w:t>
      </w:r>
      <w:r w:rsidR="00832F23">
        <w:rPr>
          <w:sz w:val="22"/>
          <w:szCs w:val="22"/>
        </w:rPr>
        <w:t>,</w:t>
      </w:r>
      <w:r w:rsidR="00FE428A">
        <w:rPr>
          <w:sz w:val="22"/>
          <w:szCs w:val="22"/>
        </w:rPr>
        <w:t xml:space="preserve"> </w:t>
      </w:r>
      <w:r w:rsidR="00832F23">
        <w:rPr>
          <w:sz w:val="22"/>
          <w:szCs w:val="22"/>
        </w:rPr>
        <w:t>p</w:t>
      </w:r>
      <w:r w:rsidR="00C02758">
        <w:rPr>
          <w:sz w:val="22"/>
          <w:szCs w:val="22"/>
        </w:rPr>
        <w:t xml:space="preserve">er l’anno </w:t>
      </w:r>
      <w:r w:rsidR="00C02758" w:rsidRPr="004C560A">
        <w:rPr>
          <w:sz w:val="22"/>
          <w:szCs w:val="22"/>
        </w:rPr>
        <w:t>accademico 2016/2017</w:t>
      </w:r>
      <w:r w:rsidR="00FF44AF">
        <w:rPr>
          <w:sz w:val="22"/>
          <w:szCs w:val="22"/>
        </w:rPr>
        <w:t xml:space="preserve"> </w:t>
      </w:r>
      <w:r w:rsidR="001D1139">
        <w:rPr>
          <w:sz w:val="22"/>
          <w:szCs w:val="22"/>
        </w:rPr>
        <w:t xml:space="preserve">i </w:t>
      </w:r>
      <w:r w:rsidR="00832F23" w:rsidRPr="00FF44AF">
        <w:rPr>
          <w:b/>
          <w:sz w:val="22"/>
          <w:szCs w:val="22"/>
        </w:rPr>
        <w:t>tre</w:t>
      </w:r>
      <w:r w:rsidR="00832F23">
        <w:rPr>
          <w:sz w:val="22"/>
          <w:szCs w:val="22"/>
        </w:rPr>
        <w:t xml:space="preserve"> </w:t>
      </w:r>
      <w:r w:rsidR="001D1139">
        <w:rPr>
          <w:sz w:val="22"/>
          <w:szCs w:val="22"/>
        </w:rPr>
        <w:t>crediti potranno essere acquisiti partecipando:</w:t>
      </w:r>
    </w:p>
    <w:p w:rsidR="00D03764" w:rsidRPr="004C560A" w:rsidRDefault="008633CC" w:rsidP="00D03764">
      <w:pPr>
        <w:pStyle w:val="Testonormale"/>
        <w:numPr>
          <w:ilvl w:val="0"/>
          <w:numId w:val="4"/>
        </w:numPr>
        <w:spacing w:before="240"/>
        <w:ind w:left="284" w:hanging="284"/>
      </w:pPr>
      <w:r w:rsidRPr="004C560A">
        <w:t>Laboratorio umanistico per la</w:t>
      </w:r>
      <w:r w:rsidR="00C02758" w:rsidRPr="004C560A">
        <w:t xml:space="preserve"> creatività e l’innovazione 2016/2017</w:t>
      </w:r>
      <w:r w:rsidRPr="004C560A">
        <w:t>:</w:t>
      </w:r>
    </w:p>
    <w:p w:rsidR="008633CC" w:rsidRDefault="00E4707A" w:rsidP="00D03764">
      <w:pPr>
        <w:pStyle w:val="Testonormale"/>
        <w:ind w:left="284"/>
      </w:pPr>
      <w:r>
        <w:t>sia alla lezione dell’</w:t>
      </w:r>
      <w:r w:rsidR="00D05124" w:rsidRPr="004C560A">
        <w:t xml:space="preserve">11 </w:t>
      </w:r>
      <w:r w:rsidR="00D03764" w:rsidRPr="004C560A">
        <w:t>novembre</w:t>
      </w:r>
      <w:r w:rsidR="00D05124" w:rsidRPr="004C560A">
        <w:t xml:space="preserve"> 2016 ore 9.00-13.00 e 14.00-17.00</w:t>
      </w:r>
      <w:r w:rsidR="003938EE">
        <w:t xml:space="preserve"> </w:t>
      </w:r>
      <w:r w:rsidR="003938EE">
        <w:rPr>
          <w:rFonts w:ascii="Arial" w:hAnsi="Arial" w:cs="Arial"/>
          <w:b/>
          <w:sz w:val="20"/>
        </w:rPr>
        <w:t xml:space="preserve">presso la sede dell’incubatore di Ateneo </w:t>
      </w:r>
      <w:proofErr w:type="spellStart"/>
      <w:r w:rsidR="003938EE">
        <w:rPr>
          <w:rFonts w:ascii="Arial" w:hAnsi="Arial" w:cs="Arial"/>
          <w:b/>
          <w:sz w:val="20"/>
        </w:rPr>
        <w:t>CreaHub</w:t>
      </w:r>
      <w:proofErr w:type="spellEnd"/>
      <w:r w:rsidR="003938EE">
        <w:rPr>
          <w:rFonts w:ascii="Arial" w:hAnsi="Arial" w:cs="Arial"/>
          <w:b/>
          <w:sz w:val="20"/>
        </w:rPr>
        <w:t xml:space="preserve"> (in via Gramsci n. 29)</w:t>
      </w:r>
      <w:r w:rsidR="00D03764" w:rsidRPr="004C560A">
        <w:t>;</w:t>
      </w:r>
      <w:r w:rsidR="00D05124" w:rsidRPr="004C560A">
        <w:t xml:space="preserve"> </w:t>
      </w:r>
      <w:r>
        <w:t xml:space="preserve">sia alla lezione del </w:t>
      </w:r>
      <w:r w:rsidR="00D05124" w:rsidRPr="004C560A">
        <w:t>25 novembre 2016 ore 9.00-13.00 e 14.00-17.00</w:t>
      </w:r>
      <w:r w:rsidR="003938EE">
        <w:t xml:space="preserve"> </w:t>
      </w:r>
      <w:r w:rsidR="003938EE">
        <w:rPr>
          <w:rFonts w:ascii="Arial" w:hAnsi="Arial" w:cs="Arial"/>
          <w:b/>
          <w:sz w:val="20"/>
        </w:rPr>
        <w:t>presso l’aula verde del Polo Didattico Diomede Pant</w:t>
      </w:r>
      <w:r w:rsidR="003938EE">
        <w:rPr>
          <w:rFonts w:ascii="Arial" w:hAnsi="Arial" w:cs="Arial"/>
          <w:b/>
          <w:sz w:val="20"/>
        </w:rPr>
        <w:t>aleoni in via Pescheria Vecchia</w:t>
      </w:r>
      <w:bookmarkStart w:id="0" w:name="_GoBack"/>
      <w:bookmarkEnd w:id="0"/>
      <w:r w:rsidR="00D03764" w:rsidRPr="004C560A">
        <w:t>.</w:t>
      </w:r>
    </w:p>
    <w:p w:rsidR="005A23D9" w:rsidRPr="005A23D9" w:rsidRDefault="005A23D9" w:rsidP="005A23D9">
      <w:pPr>
        <w:pStyle w:val="Testonormale"/>
        <w:rPr>
          <w:szCs w:val="22"/>
        </w:rPr>
      </w:pPr>
    </w:p>
    <w:p w:rsidR="00C459FD" w:rsidRPr="00772A61" w:rsidRDefault="008633CC" w:rsidP="00BD4F07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03764">
        <w:rPr>
          <w:b/>
          <w:szCs w:val="22"/>
          <w:u w:val="single"/>
        </w:rPr>
        <w:t>Gli studenti interessati dei Corsi di Macerata e di Jesi devono preventivament</w:t>
      </w:r>
      <w:r w:rsidR="00351640" w:rsidRPr="00D03764">
        <w:rPr>
          <w:b/>
          <w:szCs w:val="22"/>
          <w:u w:val="single"/>
        </w:rPr>
        <w:t xml:space="preserve">e comunicare </w:t>
      </w:r>
      <w:r w:rsidR="00E4707A">
        <w:rPr>
          <w:b/>
          <w:szCs w:val="22"/>
          <w:u w:val="single"/>
        </w:rPr>
        <w:t xml:space="preserve">se </w:t>
      </w:r>
      <w:r w:rsidR="005E19F9" w:rsidRPr="00D03764">
        <w:rPr>
          <w:b/>
          <w:szCs w:val="22"/>
          <w:u w:val="single"/>
        </w:rPr>
        <w:t>intendono partecipare</w:t>
      </w:r>
      <w:r w:rsidR="00E4707A">
        <w:rPr>
          <w:b/>
          <w:szCs w:val="22"/>
          <w:u w:val="single"/>
        </w:rPr>
        <w:t xml:space="preserve"> all’iniziativa</w:t>
      </w:r>
      <w:r w:rsidR="005E19F9">
        <w:rPr>
          <w:b/>
          <w:szCs w:val="22"/>
          <w:u w:val="single"/>
        </w:rPr>
        <w:t xml:space="preserve"> </w:t>
      </w:r>
      <w:r w:rsidR="00BD4F07" w:rsidRPr="004C560A">
        <w:rPr>
          <w:szCs w:val="22"/>
        </w:rPr>
        <w:t>alla Sig.a Carla Cherubini (</w:t>
      </w:r>
      <w:hyperlink r:id="rId8" w:history="1">
        <w:r w:rsidR="00BD4F07" w:rsidRPr="004C560A">
          <w:rPr>
            <w:rStyle w:val="Collegamentoipertestuale"/>
            <w:color w:val="auto"/>
            <w:szCs w:val="22"/>
            <w:u w:val="none"/>
          </w:rPr>
          <w:t>carla.cherubini@unimc.it</w:t>
        </w:r>
      </w:hyperlink>
      <w:r w:rsidR="00BD4F07" w:rsidRPr="004C560A">
        <w:rPr>
          <w:szCs w:val="22"/>
        </w:rPr>
        <w:t xml:space="preserve">) </w:t>
      </w:r>
      <w:r w:rsidR="00835163">
        <w:rPr>
          <w:szCs w:val="22"/>
        </w:rPr>
        <w:t>e</w:t>
      </w:r>
      <w:r w:rsidR="004C560A">
        <w:rPr>
          <w:szCs w:val="22"/>
        </w:rPr>
        <w:t xml:space="preserve"> alla Dott.ssa Valentina Rispoli</w:t>
      </w:r>
      <w:r w:rsidR="00835163">
        <w:rPr>
          <w:szCs w:val="22"/>
        </w:rPr>
        <w:t xml:space="preserve"> (valentina.rispoli@unimc.it).</w:t>
      </w:r>
    </w:p>
    <w:p w:rsidR="00C459FD" w:rsidRDefault="00C459FD" w:rsidP="00C459FD">
      <w:pPr>
        <w:pStyle w:val="Default"/>
        <w:jc w:val="both"/>
        <w:rPr>
          <w:color w:val="FF0000"/>
          <w:sz w:val="22"/>
          <w:szCs w:val="22"/>
        </w:rPr>
      </w:pPr>
    </w:p>
    <w:p w:rsidR="00C459FD" w:rsidRPr="00911613" w:rsidRDefault="00C459FD" w:rsidP="00FE428A">
      <w:pPr>
        <w:pStyle w:val="Default"/>
        <w:jc w:val="both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>Il numero di studenti ammissibili alla pratica è annualmente comunicato da ciascun Ordine provinciale all’Università.</w:t>
      </w:r>
      <w:r w:rsidR="00911613">
        <w:rPr>
          <w:color w:val="auto"/>
          <w:sz w:val="22"/>
          <w:szCs w:val="22"/>
        </w:rPr>
        <w:t xml:space="preserve"> </w:t>
      </w:r>
      <w:r w:rsidR="0074134D" w:rsidRPr="004C560A">
        <w:rPr>
          <w:color w:val="auto"/>
          <w:sz w:val="22"/>
          <w:szCs w:val="22"/>
        </w:rPr>
        <w:t>Per l’</w:t>
      </w:r>
      <w:proofErr w:type="spellStart"/>
      <w:r w:rsidR="0074134D" w:rsidRPr="004C560A">
        <w:rPr>
          <w:color w:val="auto"/>
          <w:sz w:val="22"/>
          <w:szCs w:val="22"/>
        </w:rPr>
        <w:t>a.a</w:t>
      </w:r>
      <w:proofErr w:type="spellEnd"/>
      <w:r w:rsidR="00C02758" w:rsidRPr="004C560A">
        <w:rPr>
          <w:color w:val="auto"/>
          <w:sz w:val="22"/>
          <w:szCs w:val="22"/>
        </w:rPr>
        <w:t>. 2016/2017</w:t>
      </w:r>
      <w:r w:rsidR="0074134D" w:rsidRPr="004C560A">
        <w:rPr>
          <w:color w:val="auto"/>
          <w:sz w:val="22"/>
          <w:szCs w:val="22"/>
        </w:rPr>
        <w:t xml:space="preserve"> i</w:t>
      </w:r>
      <w:r w:rsidR="0074134D">
        <w:rPr>
          <w:color w:val="auto"/>
          <w:sz w:val="22"/>
          <w:szCs w:val="22"/>
        </w:rPr>
        <w:t xml:space="preserve"> posti disponibili sono: </w:t>
      </w:r>
      <w:r w:rsidR="00FE428A" w:rsidRPr="00FE428A">
        <w:rPr>
          <w:color w:val="auto"/>
          <w:sz w:val="22"/>
          <w:szCs w:val="22"/>
        </w:rPr>
        <w:t>Ascoli Piceno n. 2 tirocinanti</w:t>
      </w:r>
      <w:r w:rsidR="00FE428A">
        <w:rPr>
          <w:color w:val="auto"/>
          <w:sz w:val="22"/>
          <w:szCs w:val="22"/>
        </w:rPr>
        <w:t xml:space="preserve">; </w:t>
      </w:r>
      <w:r w:rsidR="00FE428A" w:rsidRPr="00FE428A">
        <w:rPr>
          <w:color w:val="auto"/>
          <w:sz w:val="22"/>
          <w:szCs w:val="22"/>
        </w:rPr>
        <w:t>Macerata n. 8 tirocinanti</w:t>
      </w:r>
      <w:r w:rsidR="00FE428A">
        <w:rPr>
          <w:color w:val="auto"/>
          <w:sz w:val="22"/>
          <w:szCs w:val="22"/>
        </w:rPr>
        <w:t xml:space="preserve">; </w:t>
      </w:r>
      <w:r w:rsidR="00FE428A" w:rsidRPr="00FE428A">
        <w:rPr>
          <w:color w:val="auto"/>
          <w:sz w:val="22"/>
          <w:szCs w:val="22"/>
        </w:rPr>
        <w:t>Ancona n. 3 tirocinanti</w:t>
      </w:r>
      <w:r w:rsidR="00FE428A">
        <w:rPr>
          <w:color w:val="auto"/>
          <w:sz w:val="22"/>
          <w:szCs w:val="22"/>
        </w:rPr>
        <w:t xml:space="preserve">; </w:t>
      </w:r>
      <w:r w:rsidR="00FE428A" w:rsidRPr="00D03764">
        <w:rPr>
          <w:color w:val="auto"/>
          <w:sz w:val="22"/>
          <w:szCs w:val="22"/>
        </w:rPr>
        <w:t xml:space="preserve">Fermo n. </w:t>
      </w:r>
      <w:r w:rsidR="00D03764" w:rsidRPr="00D03764">
        <w:rPr>
          <w:color w:val="auto"/>
          <w:sz w:val="22"/>
          <w:szCs w:val="22"/>
        </w:rPr>
        <w:t>4</w:t>
      </w:r>
      <w:r w:rsidR="00FE428A" w:rsidRPr="00D03764">
        <w:rPr>
          <w:color w:val="auto"/>
          <w:sz w:val="22"/>
          <w:szCs w:val="22"/>
        </w:rPr>
        <w:t xml:space="preserve"> tirocinanti.</w:t>
      </w:r>
      <w:r w:rsidR="0074134D">
        <w:rPr>
          <w:color w:val="auto"/>
          <w:sz w:val="22"/>
          <w:szCs w:val="22"/>
        </w:rPr>
        <w:t xml:space="preserve"> </w:t>
      </w:r>
    </w:p>
    <w:p w:rsidR="00BF1801" w:rsidRPr="00BD4F07" w:rsidRDefault="00BF1801" w:rsidP="00C459FD">
      <w:pPr>
        <w:pStyle w:val="Default"/>
        <w:jc w:val="both"/>
        <w:rPr>
          <w:b/>
          <w:color w:val="auto"/>
          <w:sz w:val="22"/>
          <w:szCs w:val="22"/>
        </w:rPr>
      </w:pPr>
      <w:r w:rsidRPr="00BD4F07">
        <w:rPr>
          <w:b/>
          <w:color w:val="auto"/>
          <w:sz w:val="22"/>
          <w:szCs w:val="22"/>
        </w:rPr>
        <w:t>Ulteriori disponibilità degli studi</w:t>
      </w:r>
      <w:r w:rsidR="00911613" w:rsidRPr="00BD4F07">
        <w:rPr>
          <w:b/>
          <w:color w:val="auto"/>
          <w:sz w:val="22"/>
          <w:szCs w:val="22"/>
        </w:rPr>
        <w:t xml:space="preserve"> professionali</w:t>
      </w:r>
      <w:r w:rsidRPr="00BD4F07">
        <w:rPr>
          <w:b/>
          <w:color w:val="auto"/>
          <w:sz w:val="22"/>
          <w:szCs w:val="22"/>
        </w:rPr>
        <w:t xml:space="preserve">, anche su iniziativa di singoli aspiranti praticanti, devono essere comunicati al referente organizzativo dell’Ordine territoriale di appartenenza e all’Ufficio presso la Direzione del Dipartimento. </w:t>
      </w:r>
    </w:p>
    <w:p w:rsidR="00C459FD" w:rsidRDefault="00C459FD" w:rsidP="00C459FD">
      <w:pPr>
        <w:pStyle w:val="Default"/>
        <w:jc w:val="both"/>
        <w:rPr>
          <w:sz w:val="22"/>
          <w:szCs w:val="22"/>
        </w:rPr>
      </w:pP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Istanza di attivazione. </w:t>
      </w:r>
    </w:p>
    <w:p w:rsidR="00BF1801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Gli studenti interessati dovranno presentare istanza (utilizzando il modulo di domanda pubblicato</w:t>
      </w:r>
      <w:r w:rsidRPr="00B93E02">
        <w:rPr>
          <w:color w:val="auto"/>
          <w:sz w:val="22"/>
          <w:szCs w:val="22"/>
        </w:rPr>
        <w:t>)</w:t>
      </w:r>
      <w:r w:rsidR="00B93E02">
        <w:rPr>
          <w:sz w:val="22"/>
          <w:szCs w:val="22"/>
        </w:rPr>
        <w:t xml:space="preserve"> </w:t>
      </w:r>
      <w:r>
        <w:rPr>
          <w:sz w:val="22"/>
          <w:szCs w:val="22"/>
        </w:rPr>
        <w:t>segnalando eventuali preferenze territoriali (Macerata, Ancona, Ascoli, Fermo), alla direzione del Dipartimento</w:t>
      </w:r>
      <w:r w:rsidR="00BF1801">
        <w:rPr>
          <w:sz w:val="22"/>
          <w:szCs w:val="22"/>
        </w:rPr>
        <w:t>.</w:t>
      </w:r>
    </w:p>
    <w:p w:rsidR="00BF1801" w:rsidRDefault="00BF1801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F73E9C">
        <w:rPr>
          <w:sz w:val="22"/>
          <w:szCs w:val="22"/>
        </w:rPr>
        <w:t xml:space="preserve"> </w:t>
      </w:r>
      <w:r>
        <w:rPr>
          <w:sz w:val="22"/>
          <w:szCs w:val="22"/>
        </w:rPr>
        <w:t>direzione del Dipartimento</w:t>
      </w:r>
      <w:r w:rsidR="00F73E9C">
        <w:rPr>
          <w:sz w:val="22"/>
          <w:szCs w:val="22"/>
        </w:rPr>
        <w:t xml:space="preserve"> provvederà ad inoltrarla al </w:t>
      </w:r>
      <w:r>
        <w:rPr>
          <w:sz w:val="22"/>
          <w:szCs w:val="22"/>
        </w:rPr>
        <w:t xml:space="preserve">referente organizzativo del </w:t>
      </w:r>
      <w:r w:rsidR="00F73E9C">
        <w:rPr>
          <w:sz w:val="22"/>
          <w:szCs w:val="22"/>
        </w:rPr>
        <w:t>competente or</w:t>
      </w:r>
      <w:r>
        <w:rPr>
          <w:sz w:val="22"/>
          <w:szCs w:val="22"/>
        </w:rPr>
        <w:t>dine dei Consulenti del lavoro, seguendo l’ordine di presentazione delle istanze e fino a esaurimento dei posti disponibili.</w:t>
      </w:r>
    </w:p>
    <w:p w:rsidR="00BF1801" w:rsidRDefault="00BF1801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Nei limiti dei posti disponibili, entro trenta giorni dalla data di comunicazione dell’istanza, il referente organizzativo dell’Ordine competente contatterà l’istante per attiva</w:t>
      </w:r>
      <w:r w:rsidR="00A15B2F">
        <w:rPr>
          <w:sz w:val="22"/>
          <w:szCs w:val="22"/>
        </w:rPr>
        <w:t>re il contatto con gli studi professionali</w:t>
      </w:r>
      <w:r>
        <w:rPr>
          <w:sz w:val="22"/>
          <w:szCs w:val="22"/>
        </w:rPr>
        <w:t xml:space="preserve">. </w:t>
      </w:r>
    </w:p>
    <w:p w:rsidR="00BD459D" w:rsidRDefault="00BD459D" w:rsidP="00C459FD">
      <w:pPr>
        <w:pStyle w:val="Default"/>
        <w:jc w:val="both"/>
        <w:rPr>
          <w:sz w:val="22"/>
          <w:szCs w:val="22"/>
        </w:rPr>
      </w:pPr>
    </w:p>
    <w:p w:rsidR="00BD459D" w:rsidRDefault="00BD459D" w:rsidP="00C459FD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Disciplina della pratica</w:t>
      </w:r>
    </w:p>
    <w:p w:rsidR="00BD459D" w:rsidRDefault="00BD459D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programmazione, valutazione e verifica del tirocinio sono di esclusiva competenza degli Ordini provinciali. </w:t>
      </w:r>
    </w:p>
    <w:p w:rsidR="00BD459D" w:rsidRPr="00BD459D" w:rsidRDefault="00BD459D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praticantato si svolge secondo la disciplina prevista dal regolamento riportato in allegato (o sue modificazioni) e le ulteriori previsione di cui agli artt. 4 e 9 della Convenzione.</w:t>
      </w:r>
    </w:p>
    <w:p w:rsidR="00C038F4" w:rsidRPr="007456D8" w:rsidRDefault="00F73E9C" w:rsidP="00C459FD">
      <w:pPr>
        <w:pStyle w:val="Default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 w:rsidRPr="00BD4F07">
        <w:rPr>
          <w:sz w:val="22"/>
          <w:szCs w:val="22"/>
        </w:rPr>
        <w:t xml:space="preserve">Ulteriori indicazioni sullo svolgimento del tirocinio sono contenute nella convenzione. </w:t>
      </w:r>
      <w:r w:rsidRPr="00BD4F07">
        <w:rPr>
          <w:b/>
          <w:bCs/>
          <w:sz w:val="22"/>
          <w:szCs w:val="22"/>
        </w:rPr>
        <w:t>Si invitano gli studenti a prendere visione</w:t>
      </w:r>
      <w:r w:rsidRPr="00BD4F07">
        <w:rPr>
          <w:sz w:val="22"/>
          <w:szCs w:val="22"/>
        </w:rPr>
        <w:t xml:space="preserve"> della </w:t>
      </w:r>
      <w:r w:rsidRPr="00BD4F07">
        <w:rPr>
          <w:b/>
          <w:bCs/>
          <w:sz w:val="22"/>
          <w:szCs w:val="22"/>
        </w:rPr>
        <w:t>Convenzione</w:t>
      </w:r>
      <w:r w:rsidR="00BD459D" w:rsidRPr="00BD4F07">
        <w:rPr>
          <w:b/>
          <w:bCs/>
          <w:sz w:val="22"/>
          <w:szCs w:val="22"/>
        </w:rPr>
        <w:t>, del Regolamento sulla pratica professionale</w:t>
      </w:r>
      <w:r w:rsidRPr="00BD4F07">
        <w:rPr>
          <w:sz w:val="22"/>
          <w:szCs w:val="22"/>
        </w:rPr>
        <w:t xml:space="preserve"> e del </w:t>
      </w:r>
      <w:r w:rsidRPr="00BD4F07">
        <w:rPr>
          <w:b/>
          <w:bCs/>
          <w:sz w:val="22"/>
          <w:szCs w:val="22"/>
        </w:rPr>
        <w:t>Codice etico</w:t>
      </w:r>
      <w:r w:rsidRPr="00BD4F07">
        <w:rPr>
          <w:sz w:val="22"/>
          <w:szCs w:val="22"/>
        </w:rPr>
        <w:t xml:space="preserve"> dell’Ateneo.  </w:t>
      </w:r>
      <w:r>
        <w:rPr>
          <w:sz w:val="22"/>
          <w:szCs w:val="22"/>
        </w:rPr>
        <w:t xml:space="preserve"> </w:t>
      </w:r>
    </w:p>
    <w:sectPr w:rsidR="00C038F4" w:rsidSect="000143D1">
      <w:headerReference w:type="default" r:id="rId9"/>
      <w:pgSz w:w="11906" w:h="17338"/>
      <w:pgMar w:top="1418" w:right="794" w:bottom="1729" w:left="1525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22" w:rsidRDefault="00A30822" w:rsidP="000143D1">
      <w:pPr>
        <w:spacing w:after="0" w:line="240" w:lineRule="auto"/>
      </w:pPr>
      <w:r>
        <w:separator/>
      </w:r>
    </w:p>
  </w:endnote>
  <w:endnote w:type="continuationSeparator" w:id="0">
    <w:p w:rsidR="00A30822" w:rsidRDefault="00A30822" w:rsidP="0001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22" w:rsidRDefault="00A30822" w:rsidP="000143D1">
      <w:pPr>
        <w:spacing w:after="0" w:line="240" w:lineRule="auto"/>
      </w:pPr>
      <w:r>
        <w:separator/>
      </w:r>
    </w:p>
  </w:footnote>
  <w:footnote w:type="continuationSeparator" w:id="0">
    <w:p w:rsidR="00A30822" w:rsidRDefault="00A30822" w:rsidP="0001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4056"/>
      <w:gridCol w:w="5747"/>
    </w:tblGrid>
    <w:tr w:rsidR="000143D1" w:rsidRPr="000143D1" w:rsidTr="00326B28">
      <w:tc>
        <w:tcPr>
          <w:tcW w:w="0" w:type="auto"/>
          <w:shd w:val="clear" w:color="auto" w:fill="auto"/>
        </w:tcPr>
        <w:p w:rsidR="000143D1" w:rsidRPr="000143D1" w:rsidRDefault="000143D1" w:rsidP="000143D1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i/>
              <w:noProof/>
              <w:sz w:val="16"/>
              <w:szCs w:val="16"/>
            </w:rPr>
            <w:drawing>
              <wp:inline distT="0" distB="0" distL="0" distR="0">
                <wp:extent cx="2438400" cy="628650"/>
                <wp:effectExtent l="0" t="0" r="0" b="0"/>
                <wp:docPr id="1" name="Immagine 1" descr="2013_UNIMC_logo_gener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3_UNIMC_logo_gener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8" w:type="dxa"/>
          <w:shd w:val="clear" w:color="auto" w:fill="auto"/>
        </w:tcPr>
        <w:p w:rsidR="000143D1" w:rsidRPr="000143D1" w:rsidRDefault="000143D1" w:rsidP="000143D1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sz w:val="16"/>
              <w:szCs w:val="16"/>
            </w:rPr>
          </w:pPr>
        </w:p>
        <w:p w:rsidR="000143D1" w:rsidRPr="000143D1" w:rsidRDefault="000143D1" w:rsidP="000143D1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</w:rPr>
          </w:pPr>
        </w:p>
        <w:p w:rsidR="000143D1" w:rsidRPr="000143D1" w:rsidRDefault="0085698F" w:rsidP="000143D1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4"/>
              <w:szCs w:val="14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</w:rPr>
            <w:t xml:space="preserve">  </w:t>
          </w:r>
          <w:r w:rsidR="000143D1" w:rsidRPr="000143D1">
            <w:rPr>
              <w:rFonts w:ascii="Arial" w:eastAsia="Times New Roman" w:hAnsi="Arial" w:cs="Arial"/>
              <w:sz w:val="20"/>
              <w:szCs w:val="20"/>
            </w:rPr>
            <w:t xml:space="preserve">DIPARTIMENTO DI </w:t>
          </w:r>
          <w:r w:rsidR="000143D1" w:rsidRPr="000143D1">
            <w:rPr>
              <w:rFonts w:ascii="Arial" w:eastAsia="Times New Roman" w:hAnsi="Arial" w:cs="Arial"/>
              <w:b/>
              <w:color w:val="6393A9"/>
              <w:sz w:val="20"/>
              <w:szCs w:val="20"/>
            </w:rPr>
            <w:t>GIURISPRUDENZA</w:t>
          </w:r>
        </w:p>
      </w:tc>
    </w:tr>
  </w:tbl>
  <w:p w:rsidR="000143D1" w:rsidRDefault="00014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C8D9"/>
    <w:multiLevelType w:val="hybridMultilevel"/>
    <w:tmpl w:val="A26BB4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181894"/>
    <w:multiLevelType w:val="hybridMultilevel"/>
    <w:tmpl w:val="2C42DF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FFA46B9"/>
    <w:multiLevelType w:val="hybridMultilevel"/>
    <w:tmpl w:val="898EA530"/>
    <w:lvl w:ilvl="0" w:tplc="AC9661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80229"/>
    <w:multiLevelType w:val="hybridMultilevel"/>
    <w:tmpl w:val="BA20D5CC"/>
    <w:lvl w:ilvl="0" w:tplc="007CF8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B62E4"/>
    <w:multiLevelType w:val="hybridMultilevel"/>
    <w:tmpl w:val="4FC0C942"/>
    <w:lvl w:ilvl="0" w:tplc="64463CA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00000"/>
      </w:rPr>
    </w:lvl>
    <w:lvl w:ilvl="1" w:tplc="AF54D0C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42"/>
    <w:rsid w:val="000143D1"/>
    <w:rsid w:val="000C24F7"/>
    <w:rsid w:val="00114B45"/>
    <w:rsid w:val="0012246B"/>
    <w:rsid w:val="00171204"/>
    <w:rsid w:val="001D1139"/>
    <w:rsid w:val="001D430B"/>
    <w:rsid w:val="00232751"/>
    <w:rsid w:val="002F5227"/>
    <w:rsid w:val="00351640"/>
    <w:rsid w:val="00361E9B"/>
    <w:rsid w:val="003938EE"/>
    <w:rsid w:val="003A176E"/>
    <w:rsid w:val="00420016"/>
    <w:rsid w:val="00435B13"/>
    <w:rsid w:val="004C560A"/>
    <w:rsid w:val="005A23D9"/>
    <w:rsid w:val="005E19F9"/>
    <w:rsid w:val="00647A36"/>
    <w:rsid w:val="006C672F"/>
    <w:rsid w:val="00700CD3"/>
    <w:rsid w:val="00740E59"/>
    <w:rsid w:val="0074134D"/>
    <w:rsid w:val="007456D8"/>
    <w:rsid w:val="00772A61"/>
    <w:rsid w:val="00785F17"/>
    <w:rsid w:val="008207AB"/>
    <w:rsid w:val="00832F23"/>
    <w:rsid w:val="00835163"/>
    <w:rsid w:val="00835E67"/>
    <w:rsid w:val="0085698F"/>
    <w:rsid w:val="008633CC"/>
    <w:rsid w:val="008C0581"/>
    <w:rsid w:val="00911613"/>
    <w:rsid w:val="0096180B"/>
    <w:rsid w:val="009C79A8"/>
    <w:rsid w:val="00A016AC"/>
    <w:rsid w:val="00A15B2F"/>
    <w:rsid w:val="00A17464"/>
    <w:rsid w:val="00A30822"/>
    <w:rsid w:val="00A52245"/>
    <w:rsid w:val="00AB6A5C"/>
    <w:rsid w:val="00AD6E3B"/>
    <w:rsid w:val="00AF57B1"/>
    <w:rsid w:val="00B063CA"/>
    <w:rsid w:val="00B93E02"/>
    <w:rsid w:val="00BD459D"/>
    <w:rsid w:val="00BD4F07"/>
    <w:rsid w:val="00BF1801"/>
    <w:rsid w:val="00C02758"/>
    <w:rsid w:val="00C038F4"/>
    <w:rsid w:val="00C459FD"/>
    <w:rsid w:val="00CB0187"/>
    <w:rsid w:val="00CE1D4B"/>
    <w:rsid w:val="00CF3F98"/>
    <w:rsid w:val="00D03764"/>
    <w:rsid w:val="00D05124"/>
    <w:rsid w:val="00D10EFF"/>
    <w:rsid w:val="00D6541F"/>
    <w:rsid w:val="00DA6942"/>
    <w:rsid w:val="00E4707A"/>
    <w:rsid w:val="00E530FA"/>
    <w:rsid w:val="00EB6D19"/>
    <w:rsid w:val="00F44961"/>
    <w:rsid w:val="00F73E9C"/>
    <w:rsid w:val="00F965D1"/>
    <w:rsid w:val="00FB5841"/>
    <w:rsid w:val="00FE428A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A3C33"/>
  <w15:docId w15:val="{6115C7C5-5E04-4971-ABE1-8E4C1F03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063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1D113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D113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CD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D4F0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4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3D1"/>
  </w:style>
  <w:style w:type="paragraph" w:styleId="Pidipagina">
    <w:name w:val="footer"/>
    <w:basedOn w:val="Normale"/>
    <w:link w:val="PidipaginaCarattere"/>
    <w:uiPriority w:val="99"/>
    <w:unhideWhenUsed/>
    <w:rsid w:val="00014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3D1"/>
  </w:style>
  <w:style w:type="character" w:customStyle="1" w:styleId="Titolo3Carattere">
    <w:name w:val="Titolo 3 Carattere"/>
    <w:basedOn w:val="Carpredefinitoparagrafo"/>
    <w:link w:val="Titolo3"/>
    <w:uiPriority w:val="9"/>
    <w:rsid w:val="00B063C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cherubini@unim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C400-83AD-444A-B8BC-ABEC98B8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Macerata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Canavesi</dc:creator>
  <cp:lastModifiedBy>valentina.rispoli</cp:lastModifiedBy>
  <cp:revision>3</cp:revision>
  <cp:lastPrinted>2016-09-19T08:23:00Z</cp:lastPrinted>
  <dcterms:created xsi:type="dcterms:W3CDTF">2016-11-08T10:33:00Z</dcterms:created>
  <dcterms:modified xsi:type="dcterms:W3CDTF">2016-11-08T10:35:00Z</dcterms:modified>
</cp:coreProperties>
</file>